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0C2" w:rsidRDefault="00B6112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A095F" wp14:editId="70B635BC">
                <wp:simplePos x="0" y="0"/>
                <wp:positionH relativeFrom="column">
                  <wp:posOffset>1119505</wp:posOffset>
                </wp:positionH>
                <wp:positionV relativeFrom="paragraph">
                  <wp:posOffset>25400</wp:posOffset>
                </wp:positionV>
                <wp:extent cx="3772535" cy="40703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C2" w:rsidRPr="007D30C2" w:rsidRDefault="007D30C2" w:rsidP="00B6112F">
                            <w:pPr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7D30C2">
                              <w:rPr>
                                <w:b/>
                                <w:color w:val="7030A0"/>
                                <w:sz w:val="40"/>
                              </w:rPr>
                              <w:t>Минеральные ресурсы ЯНАО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8.15pt;margin-top:2pt;width:297.05pt;height:3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" stroked="f">
                <v:textbox>
                  <w:txbxContent>
                    <w:p w:rsidR="007D30C2" w:rsidRPr="007D30C2" w:rsidRDefault="007D30C2" w:rsidP="00B6112F">
                      <w:pPr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7D30C2">
                        <w:rPr>
                          <w:b/>
                          <w:color w:val="7030A0"/>
                          <w:sz w:val="40"/>
                        </w:rPr>
                        <w:t>Минеральные ресурсы ЯНАО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64FC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5222CC3" wp14:editId="1B1C064A">
            <wp:simplePos x="0" y="0"/>
            <wp:positionH relativeFrom="column">
              <wp:posOffset>-1135369</wp:posOffset>
            </wp:positionH>
            <wp:positionV relativeFrom="paragraph">
              <wp:posOffset>-745747</wp:posOffset>
            </wp:positionV>
            <wp:extent cx="7840483" cy="10768519"/>
            <wp:effectExtent l="0" t="0" r="8255" b="0"/>
            <wp:wrapNone/>
            <wp:docPr id="12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14" r="1604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483" cy="10768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30C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539FFD4" wp14:editId="2D184767">
            <wp:simplePos x="0" y="0"/>
            <wp:positionH relativeFrom="column">
              <wp:posOffset>-389890</wp:posOffset>
            </wp:positionH>
            <wp:positionV relativeFrom="paragraph">
              <wp:posOffset>-88265</wp:posOffset>
            </wp:positionV>
            <wp:extent cx="845820" cy="857250"/>
            <wp:effectExtent l="0" t="0" r="0" b="0"/>
            <wp:wrapNone/>
            <wp:docPr id="3" name="Рисунок 3" descr="F:\геогр янао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еогр янао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0012" b="43940"/>
                    <a:stretch/>
                  </pic:blipFill>
                  <pic:spPr bwMode="auto">
                    <a:xfrm>
                      <a:off x="0" y="0"/>
                      <a:ext cx="84582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C2" w:rsidRDefault="007D30C2">
      <w:pPr>
        <w:rPr>
          <w:noProof/>
          <w:lang w:eastAsia="ru-RU"/>
        </w:rPr>
      </w:pPr>
    </w:p>
    <w:p w:rsidR="00D64FCD" w:rsidRDefault="00D64FCD" w:rsidP="007D30C2">
      <w:pPr>
        <w:rPr>
          <w:rFonts w:ascii="Times New Roman" w:hAnsi="Times New Roman" w:cs="Times New Roman"/>
          <w:sz w:val="24"/>
          <w:szCs w:val="24"/>
        </w:rPr>
      </w:pPr>
    </w:p>
    <w:p w:rsidR="007D30C2" w:rsidRPr="007B281A" w:rsidRDefault="00D64FCD" w:rsidP="0023631B">
      <w:pPr>
        <w:ind w:left="142" w:right="283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B28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2C8BB4D" wp14:editId="29C645A0">
            <wp:simplePos x="0" y="0"/>
            <wp:positionH relativeFrom="column">
              <wp:posOffset>-635</wp:posOffset>
            </wp:positionH>
            <wp:positionV relativeFrom="paragraph">
              <wp:posOffset>1135380</wp:posOffset>
            </wp:positionV>
            <wp:extent cx="1974215" cy="1765935"/>
            <wp:effectExtent l="0" t="0" r="6985" b="5715"/>
            <wp:wrapTight wrapText="bothSides">
              <wp:wrapPolygon edited="0">
                <wp:start x="0" y="0"/>
                <wp:lineTo x="0" y="21437"/>
                <wp:lineTo x="21468" y="21437"/>
                <wp:lineTo x="21468" y="0"/>
                <wp:lineTo x="0" y="0"/>
              </wp:wrapPolygon>
            </wp:wrapTight>
            <wp:docPr id="8" name="Рисунок 8" descr="F:\геогр янао\m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еогр янао\mr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0C2" w:rsidRPr="007B281A">
        <w:rPr>
          <w:rFonts w:ascii="Times New Roman" w:hAnsi="Times New Roman" w:cs="Times New Roman"/>
          <w:sz w:val="24"/>
          <w:szCs w:val="24"/>
        </w:rPr>
        <w:t xml:space="preserve">Ямало-Ненецкий автономный округ - кладовая России. Минеральные ресурсы округа велики и разнообразны. Месторождения углеводородного сырья приурочены к северной части Западно-Сибирской нефтегазоносной провинции, включающей в себя </w:t>
      </w:r>
      <w:proofErr w:type="spellStart"/>
      <w:r w:rsidR="007D30C2" w:rsidRPr="007B281A">
        <w:rPr>
          <w:rFonts w:ascii="Times New Roman" w:hAnsi="Times New Roman" w:cs="Times New Roman"/>
          <w:sz w:val="24"/>
          <w:szCs w:val="24"/>
        </w:rPr>
        <w:t>Гыданскую</w:t>
      </w:r>
      <w:proofErr w:type="spellEnd"/>
      <w:r w:rsidR="007D30C2" w:rsidRPr="007B281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7D30C2" w:rsidRPr="007B281A">
        <w:rPr>
          <w:rFonts w:ascii="Times New Roman" w:hAnsi="Times New Roman" w:cs="Times New Roman"/>
          <w:sz w:val="24"/>
          <w:szCs w:val="24"/>
        </w:rPr>
        <w:t>Надым-</w:t>
      </w:r>
      <w:proofErr w:type="spellStart"/>
      <w:r w:rsidR="007D30C2" w:rsidRPr="007B281A">
        <w:rPr>
          <w:rFonts w:ascii="Times New Roman" w:hAnsi="Times New Roman" w:cs="Times New Roman"/>
          <w:sz w:val="24"/>
          <w:szCs w:val="24"/>
        </w:rPr>
        <w:t>Пурскую</w:t>
      </w:r>
      <w:proofErr w:type="spellEnd"/>
      <w:proofErr w:type="gramEnd"/>
      <w:r w:rsidR="007D30C2" w:rsidRPr="007B28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30C2" w:rsidRPr="007B281A">
        <w:rPr>
          <w:rFonts w:ascii="Times New Roman" w:hAnsi="Times New Roman" w:cs="Times New Roman"/>
          <w:sz w:val="24"/>
          <w:szCs w:val="24"/>
        </w:rPr>
        <w:t>Пур-Тазовскую</w:t>
      </w:r>
      <w:proofErr w:type="spellEnd"/>
      <w:r w:rsidR="007D30C2" w:rsidRPr="007B281A">
        <w:rPr>
          <w:rFonts w:ascii="Times New Roman" w:hAnsi="Times New Roman" w:cs="Times New Roman"/>
          <w:sz w:val="24"/>
          <w:szCs w:val="24"/>
        </w:rPr>
        <w:t xml:space="preserve"> и Южно-</w:t>
      </w:r>
      <w:proofErr w:type="spellStart"/>
      <w:r w:rsidR="007D30C2" w:rsidRPr="007B281A">
        <w:rPr>
          <w:rFonts w:ascii="Times New Roman" w:hAnsi="Times New Roman" w:cs="Times New Roman"/>
          <w:sz w:val="24"/>
          <w:szCs w:val="24"/>
        </w:rPr>
        <w:t>Ямальскую</w:t>
      </w:r>
      <w:proofErr w:type="spellEnd"/>
      <w:r w:rsidR="007D30C2" w:rsidRPr="007B281A">
        <w:rPr>
          <w:rFonts w:ascii="Times New Roman" w:hAnsi="Times New Roman" w:cs="Times New Roman"/>
          <w:sz w:val="24"/>
          <w:szCs w:val="24"/>
        </w:rPr>
        <w:t xml:space="preserve"> нефтегазоносные области. По запасам и добыче нефти округ занимает второе место в России.</w:t>
      </w:r>
    </w:p>
    <w:p w:rsidR="007D30C2" w:rsidRPr="007B281A" w:rsidRDefault="007D30C2" w:rsidP="0023631B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B281A">
        <w:rPr>
          <w:rFonts w:ascii="Times New Roman" w:hAnsi="Times New Roman" w:cs="Times New Roman"/>
          <w:sz w:val="24"/>
          <w:szCs w:val="24"/>
        </w:rPr>
        <w:t xml:space="preserve">Государственным балансом учитывается 136 месторождений (62 нефтяных, 6 нефтегазовых, 9 газонефтяных, 59 нефтегазоконденсатных), разведанные извлекаемые запасы по которым составляют 14,49% от всех запасов нефти России. Разрабатываются 37 месторождений, годовая добыча составляла 8,5%. Из 136 месторождений в округе одно уникальное - Русское, с запасами нефти - 16,15% округа и 30 крупных, на которых сосредоточено 67,25% запасов и 69,1% добычи нефти округа. Накопленная добыча нефти составляет по округу 375,2 </w:t>
      </w:r>
      <w:proofErr w:type="spellStart"/>
      <w:r w:rsidRPr="007B281A">
        <w:rPr>
          <w:rFonts w:ascii="Times New Roman" w:hAnsi="Times New Roman" w:cs="Times New Roman"/>
          <w:sz w:val="24"/>
          <w:szCs w:val="24"/>
        </w:rPr>
        <w:t>млн.т</w:t>
      </w:r>
      <w:proofErr w:type="spellEnd"/>
      <w:r w:rsidRPr="007B281A">
        <w:rPr>
          <w:rFonts w:ascii="Times New Roman" w:hAnsi="Times New Roman" w:cs="Times New Roman"/>
          <w:sz w:val="24"/>
          <w:szCs w:val="24"/>
        </w:rPr>
        <w:t xml:space="preserve">. Высоко оцениваются и прогнозные ресурсы </w:t>
      </w:r>
      <w:proofErr w:type="gramStart"/>
      <w:r w:rsidRPr="007B281A">
        <w:rPr>
          <w:rFonts w:ascii="Times New Roman" w:hAnsi="Times New Roman" w:cs="Times New Roman"/>
          <w:sz w:val="24"/>
          <w:szCs w:val="24"/>
        </w:rPr>
        <w:t>нефти</w:t>
      </w:r>
      <w:proofErr w:type="gramEnd"/>
      <w:r w:rsidRPr="007B281A">
        <w:rPr>
          <w:rFonts w:ascii="Times New Roman" w:hAnsi="Times New Roman" w:cs="Times New Roman"/>
          <w:sz w:val="24"/>
          <w:szCs w:val="24"/>
        </w:rPr>
        <w:t xml:space="preserve"> как на суше, так и особенно на шельфе Карского моря. Подготовлено для глубокого разведочного бурения 277 перспективных структур.</w:t>
      </w:r>
    </w:p>
    <w:p w:rsidR="0048308C" w:rsidRDefault="00D64FCD" w:rsidP="0023631B">
      <w:pPr>
        <w:ind w:firstLine="142"/>
        <w:jc w:val="both"/>
        <w:rPr>
          <w:rFonts w:ascii="Times New Roman" w:hAnsi="Times New Roman" w:cs="Times New Roman"/>
          <w:sz w:val="24"/>
          <w:szCs w:val="24"/>
          <w:shd w:val="clear" w:color="auto" w:fill="F8F8F8"/>
        </w:rPr>
      </w:pPr>
      <w:r w:rsidRPr="007B28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669DDFF" wp14:editId="1676556F">
            <wp:simplePos x="0" y="0"/>
            <wp:positionH relativeFrom="column">
              <wp:posOffset>3759835</wp:posOffset>
            </wp:positionH>
            <wp:positionV relativeFrom="paragraph">
              <wp:posOffset>153035</wp:posOffset>
            </wp:positionV>
            <wp:extent cx="1956435" cy="2402205"/>
            <wp:effectExtent l="0" t="0" r="5715" b="0"/>
            <wp:wrapThrough wrapText="bothSides">
              <wp:wrapPolygon edited="0">
                <wp:start x="0" y="0"/>
                <wp:lineTo x="0" y="21412"/>
                <wp:lineTo x="21453" y="21412"/>
                <wp:lineTo x="21453" y="0"/>
                <wp:lineTo x="0" y="0"/>
              </wp:wrapPolygon>
            </wp:wrapThrough>
            <wp:docPr id="9" name="Рисунок 9" descr="F:\геогр янао\yamal-mestorozhdeniya-g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еогр янао\yamal-mestorozhdeniya-g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81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Велика роль округа в запасах и добыче природного газа. Здесь известны уникальные по запасам газа месторождения - </w:t>
      </w:r>
      <w:proofErr w:type="spellStart"/>
      <w:r w:rsidRPr="007B281A">
        <w:rPr>
          <w:rFonts w:ascii="Times New Roman" w:hAnsi="Times New Roman" w:cs="Times New Roman"/>
          <w:sz w:val="24"/>
          <w:szCs w:val="24"/>
          <w:shd w:val="clear" w:color="auto" w:fill="F8F8F8"/>
        </w:rPr>
        <w:t>Уренгойское</w:t>
      </w:r>
      <w:proofErr w:type="spellEnd"/>
      <w:r w:rsidRPr="007B281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, Медвежье, Ленинградское и </w:t>
      </w:r>
      <w:proofErr w:type="spellStart"/>
      <w:r w:rsidRPr="007B281A">
        <w:rPr>
          <w:rFonts w:ascii="Times New Roman" w:hAnsi="Times New Roman" w:cs="Times New Roman"/>
          <w:sz w:val="24"/>
          <w:szCs w:val="24"/>
          <w:shd w:val="clear" w:color="auto" w:fill="F8F8F8"/>
        </w:rPr>
        <w:t>Русановское</w:t>
      </w:r>
      <w:proofErr w:type="spellEnd"/>
      <w:r w:rsidRPr="007B281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- на шельфе Карского моря. Государственным балансом учитывается 194 месторождения природного газа, в </w:t>
      </w:r>
      <w:proofErr w:type="spellStart"/>
      <w:r w:rsidRPr="007B281A">
        <w:rPr>
          <w:rFonts w:ascii="Times New Roman" w:hAnsi="Times New Roman" w:cs="Times New Roman"/>
          <w:sz w:val="24"/>
          <w:szCs w:val="24"/>
          <w:shd w:val="clear" w:color="auto" w:fill="F8F8F8"/>
        </w:rPr>
        <w:t>т.ч</w:t>
      </w:r>
      <w:proofErr w:type="spellEnd"/>
      <w:r w:rsidRPr="007B281A">
        <w:rPr>
          <w:rFonts w:ascii="Times New Roman" w:hAnsi="Times New Roman" w:cs="Times New Roman"/>
          <w:sz w:val="24"/>
          <w:szCs w:val="24"/>
          <w:shd w:val="clear" w:color="auto" w:fill="F8F8F8"/>
        </w:rPr>
        <w:t>. два на шельфе. Без учёта попутного газа нефтяных месторождений, на долю запасов собственно газовых месторождений (132 месторождения) приходится 75,3% от всех запасов свободного газа России; из них разрабатывается всего 27 месторождений, которые дают 90% всей добычи газа России. В округе добыто 502,8 млрд.</w:t>
      </w:r>
      <w:r w:rsidR="0023631B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r w:rsidRPr="007B281A">
        <w:rPr>
          <w:rFonts w:ascii="Times New Roman" w:hAnsi="Times New Roman" w:cs="Times New Roman"/>
          <w:sz w:val="24"/>
          <w:szCs w:val="24"/>
          <w:shd w:val="clear" w:color="auto" w:fill="F8F8F8"/>
        </w:rPr>
        <w:t>м3, или 0,3% от извлеченного из недр газа.</w:t>
      </w:r>
    </w:p>
    <w:p w:rsidR="003A7F14" w:rsidRDefault="003A7F14" w:rsidP="0023631B">
      <w:pPr>
        <w:ind w:firstLine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8F8F8"/>
        </w:rPr>
      </w:pPr>
      <w:r w:rsidRPr="0048308C">
        <w:rPr>
          <w:b/>
          <w:noProof/>
          <w:color w:val="17365D" w:themeColor="text2" w:themeShade="BF"/>
          <w:sz w:val="28"/>
          <w:lang w:eastAsia="ru-RU"/>
        </w:rPr>
        <w:drawing>
          <wp:anchor distT="0" distB="0" distL="114300" distR="114300" simplePos="0" relativeHeight="251660287" behindDoc="1" locked="0" layoutInCell="1" allowOverlap="1" wp14:anchorId="5B9E87B2" wp14:editId="6BC8A103">
            <wp:simplePos x="0" y="0"/>
            <wp:positionH relativeFrom="column">
              <wp:posOffset>-2901315</wp:posOffset>
            </wp:positionH>
            <wp:positionV relativeFrom="paragraph">
              <wp:posOffset>2463165</wp:posOffset>
            </wp:positionV>
            <wp:extent cx="7840345" cy="10768330"/>
            <wp:effectExtent l="0" t="0" r="8255" b="0"/>
            <wp:wrapNone/>
            <wp:docPr id="10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14" r="1604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45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8F8F8"/>
          <w:lang w:eastAsia="ru-RU"/>
        </w:rPr>
        <w:drawing>
          <wp:anchor distT="0" distB="0" distL="114300" distR="114300" simplePos="0" relativeHeight="251674624" behindDoc="1" locked="0" layoutInCell="1" allowOverlap="1" wp14:anchorId="23CB2E74" wp14:editId="44C1D894">
            <wp:simplePos x="0" y="0"/>
            <wp:positionH relativeFrom="column">
              <wp:posOffset>-253365</wp:posOffset>
            </wp:positionH>
            <wp:positionV relativeFrom="paragraph">
              <wp:posOffset>139065</wp:posOffset>
            </wp:positionV>
            <wp:extent cx="1984375" cy="1351280"/>
            <wp:effectExtent l="0" t="0" r="0" b="1270"/>
            <wp:wrapTight wrapText="bothSides">
              <wp:wrapPolygon edited="0">
                <wp:start x="0" y="0"/>
                <wp:lineTo x="0" y="21316"/>
                <wp:lineTo x="21358" y="21316"/>
                <wp:lineTo x="21358" y="0"/>
                <wp:lineTo x="0" y="0"/>
              </wp:wrapPolygon>
            </wp:wrapTight>
            <wp:docPr id="18" name="Рисунок 18" descr="F:\геогр янао\m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еогр янао\mr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08C" w:rsidRPr="0048308C">
        <w:rPr>
          <w:rFonts w:ascii="Times New Roman" w:hAnsi="Times New Roman" w:cs="Times New Roman"/>
          <w:color w:val="222222"/>
          <w:sz w:val="24"/>
          <w:szCs w:val="24"/>
          <w:shd w:val="clear" w:color="auto" w:fill="F8F8F8"/>
        </w:rPr>
        <w:t xml:space="preserve">Запасы </w:t>
      </w:r>
      <w:proofErr w:type="spellStart"/>
      <w:r w:rsidR="0048308C" w:rsidRPr="0048308C">
        <w:rPr>
          <w:rFonts w:ascii="Times New Roman" w:hAnsi="Times New Roman" w:cs="Times New Roman"/>
          <w:color w:val="222222"/>
          <w:sz w:val="24"/>
          <w:szCs w:val="24"/>
          <w:shd w:val="clear" w:color="auto" w:fill="F8F8F8"/>
        </w:rPr>
        <w:t>конденсатосодержащего</w:t>
      </w:r>
      <w:proofErr w:type="spellEnd"/>
      <w:r w:rsidR="0048308C" w:rsidRPr="0048308C">
        <w:rPr>
          <w:rFonts w:ascii="Times New Roman" w:hAnsi="Times New Roman" w:cs="Times New Roman"/>
          <w:color w:val="222222"/>
          <w:sz w:val="24"/>
          <w:szCs w:val="24"/>
          <w:shd w:val="clear" w:color="auto" w:fill="F8F8F8"/>
        </w:rPr>
        <w:t xml:space="preserve"> газа по состоянию на 01.01.98г. уточнены на 94 месторождениях и составляют 29% от всего свободного газа. Основные запасы (78,8%) и добыча свободного газа (93,7%) заключены на 18 уникальных месторождениях. К </w:t>
      </w:r>
      <w:proofErr w:type="gramStart"/>
      <w:r w:rsidR="0048308C" w:rsidRPr="0048308C">
        <w:rPr>
          <w:rFonts w:ascii="Times New Roman" w:hAnsi="Times New Roman" w:cs="Times New Roman"/>
          <w:color w:val="222222"/>
          <w:sz w:val="24"/>
          <w:szCs w:val="24"/>
          <w:shd w:val="clear" w:color="auto" w:fill="F8F8F8"/>
        </w:rPr>
        <w:t>перспективным</w:t>
      </w:r>
      <w:proofErr w:type="gramEnd"/>
      <w:r w:rsidR="0048308C" w:rsidRPr="0048308C">
        <w:rPr>
          <w:rFonts w:ascii="Times New Roman" w:hAnsi="Times New Roman" w:cs="Times New Roman"/>
          <w:color w:val="222222"/>
          <w:sz w:val="24"/>
          <w:szCs w:val="24"/>
          <w:shd w:val="clear" w:color="auto" w:fill="F8F8F8"/>
        </w:rPr>
        <w:t xml:space="preserve"> на свободный газ отнесены 256 площадей, подготовленных к глубокому бурению.</w:t>
      </w:r>
    </w:p>
    <w:p w:rsidR="0048308C" w:rsidRPr="003A7F14" w:rsidRDefault="003A7F14" w:rsidP="003A7F14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8F8F8"/>
          <w14:textFill>
            <w14:solidFill>
              <w14:srgbClr w14:val="222222">
                <w14:lumMod w14:val="75000"/>
              </w14:srgbClr>
            </w14:soli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CBB9443" wp14:editId="4333D729">
            <wp:simplePos x="0" y="0"/>
            <wp:positionH relativeFrom="column">
              <wp:posOffset>-1108710</wp:posOffset>
            </wp:positionH>
            <wp:positionV relativeFrom="paragraph">
              <wp:posOffset>-751840</wp:posOffset>
            </wp:positionV>
            <wp:extent cx="7840483" cy="10768519"/>
            <wp:effectExtent l="0" t="0" r="8255" b="0"/>
            <wp:wrapNone/>
            <wp:docPr id="19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14" r="1604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483" cy="10768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08C">
        <w:rPr>
          <w:rFonts w:ascii="Times New Roman" w:hAnsi="Times New Roman" w:cs="Times New Roman"/>
          <w:b/>
          <w:noProof/>
          <w:color w:val="1F497D" w:themeColor="text2"/>
          <w:sz w:val="32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E628538" wp14:editId="449D71D0">
            <wp:simplePos x="0" y="0"/>
            <wp:positionH relativeFrom="column">
              <wp:posOffset>-467292</wp:posOffset>
            </wp:positionH>
            <wp:positionV relativeFrom="paragraph">
              <wp:posOffset>388863</wp:posOffset>
            </wp:positionV>
            <wp:extent cx="6439710" cy="5088370"/>
            <wp:effectExtent l="0" t="0" r="0" b="0"/>
            <wp:wrapNone/>
            <wp:docPr id="13" name="Рисунок 13" descr="F:\геогр янао\месторо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еогр янао\месторожден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55" cy="509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08C" w:rsidRPr="0048308C"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  <w:t>Крупнейшие месторождения нефти и газа</w:t>
      </w: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Pr="003A7F14" w:rsidRDefault="0048308C" w:rsidP="003A7F14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  <w:r w:rsidRPr="003A7F14"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  <w:t>Добыча нефти, конденсата и газа России по регионам (2008 г)</w:t>
      </w: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  <w:r w:rsidRPr="0048308C">
        <w:rPr>
          <w:rFonts w:ascii="Times New Roman" w:hAnsi="Times New Roman" w:cs="Times New Roman"/>
          <w:b/>
          <w:noProof/>
          <w:color w:val="1F497D" w:themeColor="text2"/>
          <w:sz w:val="28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8E0DE38" wp14:editId="45B9F32B">
            <wp:simplePos x="0" y="0"/>
            <wp:positionH relativeFrom="column">
              <wp:posOffset>-373299</wp:posOffset>
            </wp:positionH>
            <wp:positionV relativeFrom="paragraph">
              <wp:posOffset>59690</wp:posOffset>
            </wp:positionV>
            <wp:extent cx="6343650" cy="3114715"/>
            <wp:effectExtent l="19050" t="19050" r="19050" b="28575"/>
            <wp:wrapNone/>
            <wp:docPr id="15" name="Рисунок 15" descr="F:\геогр янао\Табл. 2. Добыча нефти, конденсата и газа в России в 2008 г. по регионам, млн 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еогр янао\Табл. 2. Добыча нефти, конденсата и газа в России в 2008 г. по регионам, млн т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114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3A7F14" w:rsidRDefault="003A7F14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3A7F14" w:rsidRDefault="003A7F14" w:rsidP="002363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12BF9A16" wp14:editId="5B86F2E4">
            <wp:simplePos x="0" y="0"/>
            <wp:positionH relativeFrom="column">
              <wp:posOffset>-1108710</wp:posOffset>
            </wp:positionH>
            <wp:positionV relativeFrom="paragraph">
              <wp:posOffset>-748826</wp:posOffset>
            </wp:positionV>
            <wp:extent cx="7840345" cy="10768330"/>
            <wp:effectExtent l="0" t="0" r="8255" b="0"/>
            <wp:wrapNone/>
            <wp:docPr id="20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14" r="1604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45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08C" w:rsidRPr="003A7F14">
        <w:rPr>
          <w:rFonts w:ascii="Times New Roman" w:hAnsi="Times New Roman" w:cs="Times New Roman"/>
          <w:sz w:val="24"/>
          <w:szCs w:val="24"/>
        </w:rPr>
        <w:t xml:space="preserve">На западе округа в недрах Полярного Урала </w:t>
      </w:r>
      <w:r>
        <w:rPr>
          <w:rFonts w:ascii="Georgia" w:hAnsi="Georgia"/>
          <w:color w:val="222222"/>
          <w:shd w:val="clear" w:color="auto" w:fill="F8F8F8"/>
        </w:rPr>
        <w:t xml:space="preserve">известны многочисленные перспективные проявления и месторождения марганцевых и хромовых руд, руд цветных и редких металлов.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48308C" w:rsidRPr="003A7F14">
        <w:rPr>
          <w:rFonts w:ascii="Times New Roman" w:hAnsi="Times New Roman" w:cs="Times New Roman"/>
          <w:sz w:val="24"/>
          <w:szCs w:val="24"/>
        </w:rPr>
        <w:t xml:space="preserve">одержатся в промышленных объёмах многие ценные ресурсы: золото, свинец, уникальные сорта мрамора, фосфаты, бариты, известняки. </w:t>
      </w:r>
      <w:r w:rsidRPr="003A7F14">
        <w:rPr>
          <w:rFonts w:ascii="Times New Roman" w:hAnsi="Times New Roman" w:cs="Times New Roman"/>
          <w:sz w:val="24"/>
          <w:szCs w:val="24"/>
        </w:rPr>
        <w:t>Общераспространенные полезные ископаемые представлены месторождениями торфа и строительных материалов (камень, глины, пески).</w:t>
      </w:r>
    </w:p>
    <w:p w:rsidR="002E6E71" w:rsidRDefault="002E6E71" w:rsidP="002363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color w:val="222222"/>
          <w:shd w:val="clear" w:color="auto" w:fill="F8F8F8"/>
        </w:rPr>
        <w:t xml:space="preserve">На Полярном Урале в пределах трех гипербазитовых массивов (Рай-Из, </w:t>
      </w:r>
      <w:proofErr w:type="spellStart"/>
      <w:r>
        <w:rPr>
          <w:rFonts w:ascii="Georgia" w:hAnsi="Georgia"/>
          <w:color w:val="222222"/>
          <w:shd w:val="clear" w:color="auto" w:fill="F8F8F8"/>
        </w:rPr>
        <w:t>Войкар-Сыньинский</w:t>
      </w:r>
      <w:proofErr w:type="spellEnd"/>
      <w:r>
        <w:rPr>
          <w:rFonts w:ascii="Georgia" w:hAnsi="Georgia"/>
          <w:color w:val="222222"/>
          <w:shd w:val="clear" w:color="auto" w:fill="F8F8F8"/>
        </w:rPr>
        <w:t xml:space="preserve">, </w:t>
      </w:r>
      <w:proofErr w:type="spellStart"/>
      <w:r>
        <w:rPr>
          <w:rFonts w:ascii="Georgia" w:hAnsi="Georgia"/>
          <w:color w:val="222222"/>
          <w:shd w:val="clear" w:color="auto" w:fill="F8F8F8"/>
        </w:rPr>
        <w:t>Сыум-Кеу</w:t>
      </w:r>
      <w:proofErr w:type="spellEnd"/>
      <w:r>
        <w:rPr>
          <w:rFonts w:ascii="Georgia" w:hAnsi="Georgia"/>
          <w:color w:val="222222"/>
          <w:shd w:val="clear" w:color="auto" w:fill="F8F8F8"/>
        </w:rPr>
        <w:t xml:space="preserve">) известно более 300 рудопроявлений и месторождений хромитов, суммарные ресурсы которых превышают 600 млн. т, из них с высокохромистым </w:t>
      </w:r>
      <w:proofErr w:type="spellStart"/>
      <w:r>
        <w:rPr>
          <w:rFonts w:ascii="Georgia" w:hAnsi="Georgia"/>
          <w:color w:val="222222"/>
          <w:shd w:val="clear" w:color="auto" w:fill="F8F8F8"/>
        </w:rPr>
        <w:t>хромшпинелидом</w:t>
      </w:r>
      <w:proofErr w:type="spellEnd"/>
      <w:r>
        <w:rPr>
          <w:rFonts w:ascii="Georgia" w:hAnsi="Georgia"/>
          <w:color w:val="222222"/>
          <w:shd w:val="clear" w:color="auto" w:fill="F8F8F8"/>
        </w:rPr>
        <w:t xml:space="preserve">, пригодным для применения в металлургической промышленности, 350-400 млн. т, в </w:t>
      </w:r>
      <w:proofErr w:type="spellStart"/>
      <w:r>
        <w:rPr>
          <w:rFonts w:ascii="Georgia" w:hAnsi="Georgia"/>
          <w:color w:val="222222"/>
          <w:shd w:val="clear" w:color="auto" w:fill="F8F8F8"/>
        </w:rPr>
        <w:t>т.ч</w:t>
      </w:r>
      <w:proofErr w:type="spellEnd"/>
      <w:r>
        <w:rPr>
          <w:rFonts w:ascii="Georgia" w:hAnsi="Georgia"/>
          <w:color w:val="222222"/>
          <w:shd w:val="clear" w:color="auto" w:fill="F8F8F8"/>
        </w:rPr>
        <w:t xml:space="preserve">. более 6 млн. т. с содержанием </w:t>
      </w:r>
      <w:proofErr w:type="spellStart"/>
      <w:r>
        <w:rPr>
          <w:rFonts w:ascii="Georgia" w:hAnsi="Georgia"/>
          <w:color w:val="222222"/>
          <w:shd w:val="clear" w:color="auto" w:fill="F8F8F8"/>
        </w:rPr>
        <w:t>трехокиси</w:t>
      </w:r>
      <w:proofErr w:type="spellEnd"/>
      <w:r>
        <w:rPr>
          <w:rFonts w:ascii="Georgia" w:hAnsi="Georgia"/>
          <w:color w:val="222222"/>
          <w:shd w:val="clear" w:color="auto" w:fill="F8F8F8"/>
        </w:rPr>
        <w:t xml:space="preserve"> хрома</w:t>
      </w:r>
      <w:proofErr w:type="gramStart"/>
      <w:r>
        <w:rPr>
          <w:rFonts w:ascii="Georgia" w:hAnsi="Georgia"/>
          <w:color w:val="222222"/>
          <w:shd w:val="clear" w:color="auto" w:fill="F8F8F8"/>
        </w:rPr>
        <w:t xml:space="preserve"> С</w:t>
      </w:r>
      <w:proofErr w:type="gramEnd"/>
      <w:r>
        <w:rPr>
          <w:rFonts w:ascii="Georgia" w:hAnsi="Georgia"/>
          <w:color w:val="222222"/>
          <w:shd w:val="clear" w:color="auto" w:fill="F8F8F8"/>
        </w:rPr>
        <w:t xml:space="preserve"> 42%.</w:t>
      </w:r>
      <w:r>
        <w:rPr>
          <w:rFonts w:ascii="Georgia" w:hAnsi="Georgia"/>
          <w:color w:val="222222"/>
          <w:shd w:val="clear" w:color="auto" w:fill="F8F8F8"/>
        </w:rPr>
        <w:br/>
      </w:r>
    </w:p>
    <w:p w:rsidR="003A7F14" w:rsidRPr="003A7F14" w:rsidRDefault="003A7F14" w:rsidP="002E6E71">
      <w:pPr>
        <w:jc w:val="center"/>
        <w:rPr>
          <w:rFonts w:ascii="Times New Roman" w:hAnsi="Times New Roman" w:cs="Times New Roman"/>
          <w:sz w:val="24"/>
          <w:szCs w:val="24"/>
        </w:rPr>
      </w:pPr>
      <w:r w:rsidRPr="003A7F14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Запасы месторождений твердых полезных ископаемых Полярного Урала автономного округа</w:t>
      </w:r>
    </w:p>
    <w:tbl>
      <w:tblPr>
        <w:tblStyle w:val="a6"/>
        <w:tblW w:w="9982" w:type="dxa"/>
        <w:tblInd w:w="-459" w:type="dxa"/>
        <w:tblLook w:val="04A0" w:firstRow="1" w:lastRow="0" w:firstColumn="1" w:lastColumn="0" w:noHBand="0" w:noVBand="1"/>
      </w:tblPr>
      <w:tblGrid>
        <w:gridCol w:w="3094"/>
        <w:gridCol w:w="3494"/>
        <w:gridCol w:w="3394"/>
      </w:tblGrid>
      <w:tr w:rsidR="003A7F14" w:rsidRPr="003A7F14" w:rsidTr="002E6E71">
        <w:trPr>
          <w:trHeight w:val="652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Месторождение</w:t>
            </w: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Запасы, тыс. тонн</w:t>
            </w:r>
          </w:p>
        </w:tc>
      </w:tr>
      <w:tr w:rsidR="002E6E71" w:rsidRPr="003A7F14" w:rsidTr="002E6E71">
        <w:trPr>
          <w:trHeight w:val="326"/>
        </w:trPr>
        <w:tc>
          <w:tcPr>
            <w:tcW w:w="1550" w:type="pct"/>
            <w:vMerge w:val="restar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  <w:proofErr w:type="spellEnd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Ягинское</w:t>
            </w:r>
            <w:proofErr w:type="spellEnd"/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54 210</w:t>
            </w:r>
          </w:p>
        </w:tc>
      </w:tr>
      <w:tr w:rsidR="003A7F14" w:rsidRPr="003A7F14" w:rsidTr="002E6E71">
        <w:trPr>
          <w:trHeight w:val="174"/>
        </w:trPr>
        <w:tc>
          <w:tcPr>
            <w:tcW w:w="0" w:type="auto"/>
            <w:vMerge/>
            <w:hideMark/>
          </w:tcPr>
          <w:p w:rsidR="003A7F14" w:rsidRPr="003A7F14" w:rsidRDefault="003A7F14" w:rsidP="003A7F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Новогоднее - </w:t>
            </w: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Монто</w:t>
            </w:r>
            <w:proofErr w:type="spellEnd"/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5 330</w:t>
            </w:r>
          </w:p>
        </w:tc>
      </w:tr>
      <w:tr w:rsidR="002E6E71" w:rsidRPr="003A7F14" w:rsidTr="002E6E71">
        <w:trPr>
          <w:trHeight w:val="326"/>
        </w:trPr>
        <w:tc>
          <w:tcPr>
            <w:tcW w:w="1550" w:type="pct"/>
            <w:vMerge w:val="restar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Центральное</w:t>
            </w: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3 482,8</w:t>
            </w:r>
          </w:p>
        </w:tc>
      </w:tr>
      <w:tr w:rsidR="003A7F14" w:rsidRPr="003A7F14" w:rsidTr="002E6E71">
        <w:trPr>
          <w:trHeight w:val="174"/>
        </w:trPr>
        <w:tc>
          <w:tcPr>
            <w:tcW w:w="0" w:type="auto"/>
            <w:vMerge/>
            <w:hideMark/>
          </w:tcPr>
          <w:p w:rsidR="003A7F14" w:rsidRPr="003A7F14" w:rsidRDefault="003A7F14" w:rsidP="003A7F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Западное</w:t>
            </w: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2 900</w:t>
            </w:r>
          </w:p>
        </w:tc>
      </w:tr>
      <w:tr w:rsidR="003A7F14" w:rsidRPr="003A7F14" w:rsidTr="002E6E71">
        <w:trPr>
          <w:trHeight w:val="174"/>
        </w:trPr>
        <w:tc>
          <w:tcPr>
            <w:tcW w:w="0" w:type="auto"/>
            <w:vMerge/>
            <w:hideMark/>
          </w:tcPr>
          <w:p w:rsidR="003A7F14" w:rsidRPr="003A7F14" w:rsidRDefault="003A7F14" w:rsidP="003A7F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</w:tr>
      <w:tr w:rsidR="003A7F14" w:rsidRPr="003A7F14" w:rsidTr="002E6E71">
        <w:trPr>
          <w:trHeight w:val="326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Свинец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Саурейское</w:t>
            </w:r>
            <w:proofErr w:type="spellEnd"/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326,7</w:t>
            </w:r>
          </w:p>
        </w:tc>
      </w:tr>
      <w:tr w:rsidR="002E6E71" w:rsidRPr="003A7F14" w:rsidTr="002E6E71">
        <w:trPr>
          <w:trHeight w:val="326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Олово</w:t>
            </w:r>
          </w:p>
        </w:tc>
        <w:tc>
          <w:tcPr>
            <w:tcW w:w="1750" w:type="pct"/>
            <w:vMerge w:val="restar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Тайкеуская</w:t>
            </w:r>
            <w:proofErr w:type="spellEnd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</w:tr>
      <w:tr w:rsidR="003A7F14" w:rsidRPr="003A7F14" w:rsidTr="002E6E71">
        <w:trPr>
          <w:trHeight w:val="326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proofErr w:type="gram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0" w:type="auto"/>
            <w:vMerge/>
            <w:hideMark/>
          </w:tcPr>
          <w:p w:rsidR="003A7F14" w:rsidRPr="003A7F14" w:rsidRDefault="003A7F14" w:rsidP="003A7F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</w:tr>
      <w:tr w:rsidR="003A7F14" w:rsidRPr="003A7F14" w:rsidTr="002E6E71">
        <w:trPr>
          <w:trHeight w:val="326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Nb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2 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0" w:type="auto"/>
            <w:vMerge/>
            <w:hideMark/>
          </w:tcPr>
          <w:p w:rsidR="003A7F14" w:rsidRPr="003A7F14" w:rsidRDefault="003A7F14" w:rsidP="003A7F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55,2</w:t>
            </w:r>
          </w:p>
        </w:tc>
      </w:tr>
      <w:tr w:rsidR="003A7F14" w:rsidRPr="003A7F14" w:rsidTr="002E6E71">
        <w:trPr>
          <w:trHeight w:val="326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Оксиды Т</w:t>
            </w:r>
            <w:proofErr w:type="gram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proofErr w:type="gramEnd"/>
          </w:p>
        </w:tc>
        <w:tc>
          <w:tcPr>
            <w:tcW w:w="0" w:type="auto"/>
            <w:vMerge/>
            <w:hideMark/>
          </w:tcPr>
          <w:p w:rsidR="003A7F14" w:rsidRPr="003A7F14" w:rsidRDefault="003A7F14" w:rsidP="003A7F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</w:tr>
      <w:tr w:rsidR="003A7F14" w:rsidRPr="003A7F14" w:rsidTr="002E6E71">
        <w:trPr>
          <w:trHeight w:val="326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Флюорит</w:t>
            </w:r>
          </w:p>
        </w:tc>
        <w:tc>
          <w:tcPr>
            <w:tcW w:w="0" w:type="auto"/>
            <w:vMerge/>
            <w:hideMark/>
          </w:tcPr>
          <w:p w:rsidR="003A7F14" w:rsidRPr="003A7F14" w:rsidRDefault="003A7F14" w:rsidP="003A7F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</w:tr>
      <w:tr w:rsidR="003A7F14" w:rsidRPr="003A7F14" w:rsidTr="002E6E71">
        <w:trPr>
          <w:trHeight w:val="326"/>
        </w:trPr>
        <w:tc>
          <w:tcPr>
            <w:tcW w:w="1550" w:type="pct"/>
            <w:vMerge w:val="restar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 рудное</w:t>
            </w:r>
            <w:proofErr w:type="gramEnd"/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Новогоднее - </w:t>
            </w: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Монто</w:t>
            </w:r>
            <w:proofErr w:type="spellEnd"/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0,00721</w:t>
            </w:r>
          </w:p>
        </w:tc>
      </w:tr>
      <w:tr w:rsidR="003A7F14" w:rsidRPr="003A7F14" w:rsidTr="002E6E71">
        <w:trPr>
          <w:trHeight w:val="507"/>
        </w:trPr>
        <w:tc>
          <w:tcPr>
            <w:tcW w:w="0" w:type="auto"/>
            <w:vMerge/>
            <w:hideMark/>
          </w:tcPr>
          <w:p w:rsidR="003A7F14" w:rsidRPr="003A7F14" w:rsidRDefault="003A7F14" w:rsidP="003A7F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Петропавловское</w:t>
            </w: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0,00969</w:t>
            </w:r>
          </w:p>
        </w:tc>
      </w:tr>
      <w:tr w:rsidR="003A7F14" w:rsidRPr="003A7F14" w:rsidTr="002E6E71">
        <w:trPr>
          <w:trHeight w:val="326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Серебро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Петропавловское</w:t>
            </w: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0,01473</w:t>
            </w:r>
          </w:p>
        </w:tc>
      </w:tr>
      <w:tr w:rsidR="002E6E71" w:rsidRPr="003A7F14" w:rsidTr="002E6E71">
        <w:trPr>
          <w:trHeight w:val="326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Молибден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Харбейское</w:t>
            </w:r>
            <w:proofErr w:type="spellEnd"/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1,432</w:t>
            </w:r>
          </w:p>
        </w:tc>
      </w:tr>
      <w:tr w:rsidR="003A7F14" w:rsidRPr="003A7F14" w:rsidTr="002E6E71">
        <w:trPr>
          <w:trHeight w:val="652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Фосфориты (руда / Р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- 17%)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Софроновское</w:t>
            </w:r>
            <w:proofErr w:type="spellEnd"/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12 499 / 2 480</w:t>
            </w:r>
          </w:p>
        </w:tc>
      </w:tr>
      <w:tr w:rsidR="002E6E71" w:rsidRPr="003A7F14" w:rsidTr="002E6E71">
        <w:trPr>
          <w:trHeight w:val="743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Бариты (руда / BaSO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47.06%)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Войшорское</w:t>
            </w:r>
            <w:proofErr w:type="spellEnd"/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667,2 / 219,3</w:t>
            </w:r>
          </w:p>
        </w:tc>
      </w:tr>
      <w:tr w:rsidR="003A7F14" w:rsidRPr="003A7F14" w:rsidTr="002E6E71">
        <w:trPr>
          <w:trHeight w:val="326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Дуниты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Центральное</w:t>
            </w: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60 284</w:t>
            </w:r>
          </w:p>
        </w:tc>
      </w:tr>
      <w:tr w:rsidR="002E6E71" w:rsidRPr="003A7F14" w:rsidTr="002E6E71">
        <w:trPr>
          <w:trHeight w:val="995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Известняки для </w:t>
            </w: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цементнной</w:t>
            </w:r>
            <w:proofErr w:type="spellEnd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промышленности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Новогоднее -2</w:t>
            </w:r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65 115</w:t>
            </w:r>
          </w:p>
        </w:tc>
      </w:tr>
      <w:tr w:rsidR="003A7F14" w:rsidRPr="003A7F14" w:rsidTr="002E6E71">
        <w:trPr>
          <w:trHeight w:val="995"/>
        </w:trPr>
        <w:tc>
          <w:tcPr>
            <w:tcW w:w="15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Глины для </w:t>
            </w: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цементнной</w:t>
            </w:r>
            <w:proofErr w:type="spellEnd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промышленности</w:t>
            </w:r>
          </w:p>
        </w:tc>
        <w:tc>
          <w:tcPr>
            <w:tcW w:w="175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Пунгъю</w:t>
            </w:r>
            <w:proofErr w:type="spellEnd"/>
          </w:p>
        </w:tc>
        <w:tc>
          <w:tcPr>
            <w:tcW w:w="1700" w:type="pct"/>
            <w:hideMark/>
          </w:tcPr>
          <w:p w:rsidR="003A7F14" w:rsidRPr="003A7F14" w:rsidRDefault="003A7F14" w:rsidP="003A7F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24 683</w:t>
            </w:r>
          </w:p>
        </w:tc>
      </w:tr>
    </w:tbl>
    <w:p w:rsidR="0048308C" w:rsidRDefault="002E6E71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A8A87B5" wp14:editId="3F8515C0">
            <wp:simplePos x="0" y="0"/>
            <wp:positionH relativeFrom="column">
              <wp:posOffset>-413385</wp:posOffset>
            </wp:positionH>
            <wp:positionV relativeFrom="paragraph">
              <wp:posOffset>-72390</wp:posOffset>
            </wp:positionV>
            <wp:extent cx="638175" cy="638175"/>
            <wp:effectExtent l="0" t="0" r="9525" b="9525"/>
            <wp:wrapNone/>
            <wp:docPr id="27" name="Рисунок 27" descr="F:\геогр янао\RGU_Gub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еогр янао\RGU_Gubk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E71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04F46" wp14:editId="740E192D">
                <wp:simplePos x="0" y="0"/>
                <wp:positionH relativeFrom="column">
                  <wp:posOffset>220345</wp:posOffset>
                </wp:positionH>
                <wp:positionV relativeFrom="paragraph">
                  <wp:posOffset>-635</wp:posOffset>
                </wp:positionV>
                <wp:extent cx="2374265" cy="140398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E71" w:rsidRPr="002E6E71" w:rsidRDefault="002E6E7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2E6E7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Подведем итоги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7.35pt;margin-top:-.0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b/KQIAAAE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" filled="f" stroked="f">
                <v:textbox style="mso-fit-shape-to-text:t">
                  <w:txbxContent>
                    <w:p w:rsidR="002E6E71" w:rsidRPr="002E6E71" w:rsidRDefault="002E6E71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2E6E7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Подведем итоги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BE8D127" wp14:editId="0DAC9E1C">
            <wp:simplePos x="0" y="0"/>
            <wp:positionH relativeFrom="column">
              <wp:posOffset>-1108710</wp:posOffset>
            </wp:positionH>
            <wp:positionV relativeFrom="paragraph">
              <wp:posOffset>-761365</wp:posOffset>
            </wp:positionV>
            <wp:extent cx="7840345" cy="10768330"/>
            <wp:effectExtent l="0" t="0" r="8255" b="0"/>
            <wp:wrapNone/>
            <wp:docPr id="2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14" r="1604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45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  <w:t xml:space="preserve">         </w:t>
      </w:r>
    </w:p>
    <w:p w:rsidR="002E6E71" w:rsidRDefault="002E6E71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3A62F4" wp14:editId="04F2E8C3">
                <wp:simplePos x="0" y="0"/>
                <wp:positionH relativeFrom="column">
                  <wp:posOffset>-346710</wp:posOffset>
                </wp:positionH>
                <wp:positionV relativeFrom="paragraph">
                  <wp:posOffset>236855</wp:posOffset>
                </wp:positionV>
                <wp:extent cx="6334125" cy="2714625"/>
                <wp:effectExtent l="57150" t="38100" r="85725" b="104775"/>
                <wp:wrapNone/>
                <wp:docPr id="22" name="Прямоугольник с двумя скругленными противолежащими углам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2714625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E71" w:rsidRPr="002E6E71" w:rsidRDefault="002E6E71" w:rsidP="0023631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E6E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Минерально-сырьевая база Ямало-Ненецкого автономного округа уникальна и представлена разнообразными полезными ископаемыми, что создает надежную основу социально-экономического развития региона. Широкий спектр месторождений и проявлений минерально-сырьевых ресурсов приурочен к западной части Полярного Урала. Эта территория административно относится к </w:t>
                            </w:r>
                            <w:proofErr w:type="spellStart"/>
                            <w:r w:rsidRPr="002E6E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Шурышкарскому</w:t>
                            </w:r>
                            <w:proofErr w:type="spellEnd"/>
                            <w:r w:rsidRPr="002E6E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gramStart"/>
                            <w:r w:rsidRPr="002E6E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Приуральскому</w:t>
                            </w:r>
                            <w:proofErr w:type="gramEnd"/>
                            <w:r w:rsidRPr="002E6E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районам и является перспективной для промышленного освоения. Освоение ресурсов названной территории только начинается и может рассматриваться сегодня как резервная сырьевая база по обеспечению сырьем промышленности России и Уральского промышленного района. </w:t>
                            </w:r>
                          </w:p>
                          <w:p w:rsidR="002E6E71" w:rsidRDefault="002E6E71" w:rsidP="002E6E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2" o:spid="_x0000_s1028" style="position:absolute;margin-left:-27.3pt;margin-top:18.65pt;width:498.75pt;height:21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34125,2714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" adj="-11796480,,5400" path="m,l6334125,r,l6334125,2714625r,l,2714625r,l,,,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6334125,0;6334125,0;6334125,2714625;6334125,2714625;0,2714625;0,2714625;0,0;0,0" o:connectangles="0,0,0,0,0,0,0,0,0" textboxrect="0,0,6334125,2714625"/>
                <v:textbox>
                  <w:txbxContent>
                    <w:p w:rsidR="002E6E71" w:rsidRPr="002E6E71" w:rsidRDefault="002E6E71" w:rsidP="0023631B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E6E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Минерально-сырьевая база Ямало-Ненецкого автономного округа уникальна и представлена разнообразными полезными ископаемыми, что создает надежную основу социально-экономического развития региона. Широкий спектр месторождений и проявлений минерально-сырьевых ресурсов приурочен к западной части Полярного Урала. Эта территория административно относится к </w:t>
                      </w:r>
                      <w:proofErr w:type="spellStart"/>
                      <w:r w:rsidRPr="002E6E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Шурышкарскому</w:t>
                      </w:r>
                      <w:proofErr w:type="spellEnd"/>
                      <w:r w:rsidRPr="002E6E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</w:t>
                      </w:r>
                      <w:proofErr w:type="gramStart"/>
                      <w:r w:rsidRPr="002E6E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Приуральскому</w:t>
                      </w:r>
                      <w:proofErr w:type="gramEnd"/>
                      <w:r w:rsidRPr="002E6E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районам и является перспективной для промышленного освоения. Освоение ресурсов названной территории только начинается и может рассматриваться сегодня как резервная сырьевая база по обеспечению сырьем промышленности России и Уральского промышленного района. </w:t>
                      </w:r>
                    </w:p>
                    <w:p w:rsidR="002E6E71" w:rsidRDefault="002E6E71" w:rsidP="002E6E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48308C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</w:p>
    <w:p w:rsidR="0048308C" w:rsidRDefault="005B51F6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  <w:r w:rsidRPr="005B51F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B329B1" wp14:editId="59533F85">
                <wp:simplePos x="0" y="0"/>
                <wp:positionH relativeFrom="column">
                  <wp:posOffset>1758315</wp:posOffset>
                </wp:positionH>
                <wp:positionV relativeFrom="paragraph">
                  <wp:posOffset>181610</wp:posOffset>
                </wp:positionV>
                <wp:extent cx="2374265" cy="538480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1F6" w:rsidRPr="005B51F6" w:rsidRDefault="005B51F6">
                            <w:p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5B51F6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Газопровод Ямал-Европа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8.45pt;margin-top:14.3pt;width:186.95pt;height:42.4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" filled="f" stroked="f">
                <v:textbox>
                  <w:txbxContent>
                    <w:p w:rsidR="005B51F6" w:rsidRPr="005B51F6" w:rsidRDefault="005B51F6">
                      <w:p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5B51F6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8"/>
                          <w:szCs w:val="28"/>
                        </w:rPr>
                        <w:t>Газопровод Ямал-Европа</w:t>
                      </w:r>
                    </w:p>
                  </w:txbxContent>
                </v:textbox>
              </v:shape>
            </w:pict>
          </mc:Fallback>
        </mc:AlternateContent>
      </w:r>
    </w:p>
    <w:p w:rsidR="0048308C" w:rsidRDefault="002E6E71" w:rsidP="0048308C">
      <w:pPr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3CE34B3" wp14:editId="38C88B8C">
            <wp:simplePos x="0" y="0"/>
            <wp:positionH relativeFrom="column">
              <wp:posOffset>-260350</wp:posOffset>
            </wp:positionH>
            <wp:positionV relativeFrom="paragraph">
              <wp:posOffset>109855</wp:posOffset>
            </wp:positionV>
            <wp:extent cx="3943350" cy="3075305"/>
            <wp:effectExtent l="0" t="0" r="0" b="0"/>
            <wp:wrapNone/>
            <wp:docPr id="29" name="Рисунок 29" descr="F:\геогр янао\газопровод ямал европа 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еогр янао\газопровод ямал европа 2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FCD" w:rsidRPr="0048308C" w:rsidRDefault="0048308C" w:rsidP="0048308C">
      <w:pPr>
        <w:rPr>
          <w:rFonts w:ascii="Times New Roman" w:hAnsi="Times New Roman" w:cs="Times New Roman"/>
          <w:b/>
          <w:sz w:val="24"/>
          <w:szCs w:val="24"/>
        </w:rPr>
      </w:pPr>
      <w:r w:rsidRPr="0048308C"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  <w:t xml:space="preserve"> </w:t>
      </w:r>
      <w:r w:rsidR="00D64FCD" w:rsidRPr="0048308C">
        <w:rPr>
          <w:rFonts w:ascii="Georgia" w:hAnsi="Georgia"/>
          <w:b/>
          <w:color w:val="222222"/>
          <w:shd w:val="clear" w:color="auto" w:fill="F8F8F8"/>
        </w:rPr>
        <w:br/>
      </w:r>
    </w:p>
    <w:p w:rsidR="00D64FCD" w:rsidRDefault="00D64FCD" w:rsidP="007D30C2">
      <w:pPr>
        <w:rPr>
          <w:rFonts w:ascii="Times New Roman" w:hAnsi="Times New Roman" w:cs="Times New Roman"/>
          <w:sz w:val="24"/>
          <w:szCs w:val="24"/>
        </w:rPr>
      </w:pPr>
    </w:p>
    <w:p w:rsidR="00D64FCD" w:rsidRDefault="00D64FCD" w:rsidP="007D30C2"/>
    <w:p w:rsidR="00810E11" w:rsidRDefault="002E6E71" w:rsidP="007D30C2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793451A" wp14:editId="77CEE26A">
            <wp:simplePos x="0" y="0"/>
            <wp:positionH relativeFrom="column">
              <wp:posOffset>1759821</wp:posOffset>
            </wp:positionH>
            <wp:positionV relativeFrom="paragraph">
              <wp:posOffset>1703070</wp:posOffset>
            </wp:positionV>
            <wp:extent cx="4171950" cy="2553233"/>
            <wp:effectExtent l="0" t="0" r="0" b="0"/>
            <wp:wrapNone/>
            <wp:docPr id="30" name="Рисунок 30" descr="F:\геогр янао\газопровод ямал-евр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еогр янао\газопровод ямал-европ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0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0C2"/>
    <w:rsid w:val="0023631B"/>
    <w:rsid w:val="002E6E71"/>
    <w:rsid w:val="003A7F14"/>
    <w:rsid w:val="0048308C"/>
    <w:rsid w:val="005B51F6"/>
    <w:rsid w:val="007B281A"/>
    <w:rsid w:val="007D30C2"/>
    <w:rsid w:val="00810E11"/>
    <w:rsid w:val="00B6112F"/>
    <w:rsid w:val="00D6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0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64FCD"/>
    <w:rPr>
      <w:color w:val="0000FF"/>
      <w:u w:val="single"/>
    </w:rPr>
  </w:style>
  <w:style w:type="table" w:styleId="-5">
    <w:name w:val="Light Shading Accent 5"/>
    <w:basedOn w:val="a1"/>
    <w:uiPriority w:val="60"/>
    <w:rsid w:val="003A7F1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6">
    <w:name w:val="Table Grid"/>
    <w:basedOn w:val="a1"/>
    <w:uiPriority w:val="59"/>
    <w:rsid w:val="003A7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0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64FCD"/>
    <w:rPr>
      <w:color w:val="0000FF"/>
      <w:u w:val="single"/>
    </w:rPr>
  </w:style>
  <w:style w:type="table" w:styleId="-5">
    <w:name w:val="Light Shading Accent 5"/>
    <w:basedOn w:val="a1"/>
    <w:uiPriority w:val="60"/>
    <w:rsid w:val="003A7F1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6">
    <w:name w:val="Table Grid"/>
    <w:basedOn w:val="a1"/>
    <w:uiPriority w:val="59"/>
    <w:rsid w:val="003A7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Лиля</cp:lastModifiedBy>
  <cp:revision>3</cp:revision>
  <dcterms:created xsi:type="dcterms:W3CDTF">2014-04-21T08:57:00Z</dcterms:created>
  <dcterms:modified xsi:type="dcterms:W3CDTF">2014-04-22T08:52:00Z</dcterms:modified>
</cp:coreProperties>
</file>